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6B372A87" w14:textId="77777777" w:rsidR="00612FBF" w:rsidRPr="003E63FD" w:rsidRDefault="00612FBF" w:rsidP="00612FBF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Marché de service de coursiers</w:t>
      </w:r>
    </w:p>
    <w:p w14:paraId="3E676B43" w14:textId="77777777" w:rsidR="00612FBF" w:rsidRPr="001D247D" w:rsidRDefault="00612FBF" w:rsidP="00612FBF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28"/>
          <w:szCs w:val="28"/>
        </w:rPr>
      </w:pPr>
      <w:r w:rsidRPr="001D247D">
        <w:rPr>
          <w:rFonts w:ascii="Arial Narrow" w:hAnsi="Arial Narrow"/>
          <w:sz w:val="28"/>
          <w:szCs w:val="28"/>
        </w:rPr>
        <w:t>N°</w:t>
      </w:r>
      <w:r>
        <w:rPr>
          <w:rFonts w:ascii="Arial Narrow" w:hAnsi="Arial Narrow"/>
          <w:sz w:val="28"/>
          <w:szCs w:val="28"/>
        </w:rPr>
        <w:t>2025-267</w:t>
      </w: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6C477BB9" w14:textId="77777777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29E8A5CE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6B56E1">
              <w:rPr>
                <w:rFonts w:ascii="Arial Narrow" w:hAnsi="Arial Narrow"/>
                <w:sz w:val="22"/>
                <w:szCs w:val="22"/>
              </w:rPr>
              <w:t>202</w:t>
            </w:r>
            <w:r w:rsidR="00612FBF">
              <w:rPr>
                <w:rFonts w:ascii="Arial Narrow" w:hAnsi="Arial Narrow"/>
                <w:sz w:val="22"/>
                <w:szCs w:val="22"/>
              </w:rPr>
              <w:t>5-267</w:t>
            </w:r>
          </w:p>
          <w:p w14:paraId="2816BE26" w14:textId="28A8BDA1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B56E1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56E29347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612FBF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30C97026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B56E1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782315A" w14:textId="4270AC77" w:rsidR="00E42FF3" w:rsidRPr="009E4F1B" w:rsidRDefault="0024335F" w:rsidP="005C6E6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C74EFE"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EA5AA28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="0050687E">
        <w:rPr>
          <w:rFonts w:ascii="Arial Narrow" w:hAnsi="Arial Narrow"/>
        </w:rPr>
        <w:t>résident, M. Sylvain Amic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12FBF">
        <w:rPr>
          <w:rFonts w:ascii="Arial Narrow" w:hAnsi="Arial Narrow" w:cs="Calibri Light"/>
        </w:rPr>
      </w:r>
      <w:r w:rsidR="00612FB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12FBF">
        <w:rPr>
          <w:rFonts w:ascii="Arial Narrow" w:hAnsi="Arial Narrow" w:cs="Calibri Light"/>
        </w:rPr>
      </w:r>
      <w:r w:rsidR="00612FB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12FBF">
        <w:rPr>
          <w:rFonts w:ascii="Arial Narrow" w:hAnsi="Arial Narrow" w:cs="Calibri Light"/>
        </w:rPr>
      </w:r>
      <w:r w:rsidR="00612FB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12FBF">
        <w:rPr>
          <w:rFonts w:ascii="Arial Narrow" w:hAnsi="Arial Narrow" w:cs="Calibri Light"/>
        </w:rPr>
      </w:r>
      <w:r w:rsidR="00612FB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12FBF">
        <w:rPr>
          <w:rFonts w:ascii="Arial Narrow" w:hAnsi="Arial Narrow" w:cs="Calibri Light"/>
        </w:rPr>
      </w:r>
      <w:r w:rsidR="00612FB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12FBF">
        <w:rPr>
          <w:rFonts w:ascii="Arial Narrow" w:hAnsi="Arial Narrow" w:cs="Calibri Light"/>
        </w:rPr>
      </w:r>
      <w:r w:rsidR="00612FB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12FBF">
        <w:rPr>
          <w:rFonts w:ascii="Arial Narrow" w:hAnsi="Arial Narrow" w:cs="Calibri Light"/>
        </w:rPr>
      </w:r>
      <w:r w:rsidR="00612FB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612FBF">
        <w:rPr>
          <w:rFonts w:ascii="Arial Narrow" w:hAnsi="Arial Narrow" w:cs="Calibri Light"/>
        </w:rPr>
      </w:r>
      <w:r w:rsidR="00612FBF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12FBF">
        <w:rPr>
          <w:rFonts w:ascii="Arial Narrow" w:hAnsi="Arial Narrow"/>
        </w:rPr>
      </w:r>
      <w:r w:rsidR="00612FB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12FBF">
        <w:rPr>
          <w:rFonts w:ascii="Arial Narrow" w:hAnsi="Arial Narrow"/>
        </w:rPr>
      </w:r>
      <w:r w:rsidR="00612FB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A3E01AE" w14:textId="06A9D4F9" w:rsidR="004261EE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B56E1">
        <w:rPr>
          <w:rFonts w:ascii="Arial Narrow" w:hAnsi="Arial Narrow"/>
        </w:rPr>
        <w:t>1</w:t>
      </w:r>
      <w:r w:rsidRPr="009E4F1B">
        <w:rPr>
          <w:rFonts w:ascii="Arial Narrow" w:hAnsi="Arial Narrow"/>
        </w:rPr>
        <w:t> : le bordereau des prix unitaires (BPU)</w:t>
      </w:r>
      <w:r w:rsidR="008C65DE">
        <w:rPr>
          <w:rFonts w:ascii="Arial Narrow" w:hAnsi="Arial Narrow"/>
        </w:rPr>
        <w:t xml:space="preserve"> </w:t>
      </w:r>
      <w:r w:rsidR="00334A76" w:rsidRPr="009E4F1B">
        <w:rPr>
          <w:rFonts w:ascii="Arial Narrow" w:hAnsi="Arial Narrow"/>
        </w:rPr>
        <w:t>;</w:t>
      </w:r>
      <w:r w:rsidRPr="009E4F1B">
        <w:rPr>
          <w:rFonts w:ascii="Arial Narrow" w:hAnsi="Arial Narrow"/>
        </w:rPr>
        <w:t> </w:t>
      </w:r>
    </w:p>
    <w:p w14:paraId="3C5C03D0" w14:textId="1DBFF4A3" w:rsidR="00612FBF" w:rsidRPr="009E4F1B" w:rsidRDefault="00612FBF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 xml:space="preserve">Annexe 2 : la grille tarifaire ; </w:t>
      </w:r>
    </w:p>
    <w:p w14:paraId="39C7E7AE" w14:textId="44B5C855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12FBF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732656">
        <w:rPr>
          <w:rFonts w:ascii="Arial Narrow" w:hAnsi="Arial Narrow"/>
        </w:rPr>
        <w:t>Le RIB du titulaire</w:t>
      </w:r>
      <w:r w:rsidR="00612FBF">
        <w:rPr>
          <w:rFonts w:ascii="Arial Narrow" w:hAnsi="Arial Narrow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646C52B7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12FBF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2924AADA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612FBF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151D17CB" w:rsidR="004261EE" w:rsidRDefault="00612FBF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Le cahier des clauses</w:t>
      </w:r>
      <w:r w:rsidR="00482250">
        <w:rPr>
          <w:rFonts w:ascii="Arial Narrow" w:hAnsi="Arial Narrow"/>
        </w:rPr>
        <w:t xml:space="preserve"> </w:t>
      </w:r>
      <w:r w:rsidR="006B56E1">
        <w:rPr>
          <w:rFonts w:ascii="Arial Narrow" w:hAnsi="Arial Narrow"/>
        </w:rPr>
        <w:t>particulières (CC</w:t>
      </w:r>
      <w:r w:rsidR="004261EE" w:rsidRPr="009E4F1B">
        <w:rPr>
          <w:rFonts w:ascii="Arial Narrow" w:hAnsi="Arial Narrow"/>
        </w:rPr>
        <w:t>P) ;</w:t>
      </w:r>
    </w:p>
    <w:p w14:paraId="6A9EA224" w14:textId="36E08D51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6B56E1">
        <w:rPr>
          <w:rFonts w:ascii="Arial Narrow" w:hAnsi="Arial Narrow"/>
        </w:rPr>
        <w:t>fournitures courantes et service (CCAG-FCS)</w:t>
      </w:r>
      <w:r w:rsidR="00C35C25">
        <w:rPr>
          <w:rFonts w:ascii="Arial Narrow" w:hAnsi="Arial Narrow"/>
        </w:rPr>
        <w:t> ;</w:t>
      </w:r>
    </w:p>
    <w:p w14:paraId="5D3666F9" w14:textId="7BF92C1B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 xml:space="preserve">’offre </w:t>
      </w:r>
      <w:r w:rsidR="004261EE" w:rsidRPr="009E4F1B">
        <w:rPr>
          <w:rFonts w:ascii="Arial Narrow" w:hAnsi="Arial Narrow"/>
        </w:rPr>
        <w:t>remise dans le cadre de la consultation</w:t>
      </w:r>
      <w:r w:rsidR="00C35C25">
        <w:rPr>
          <w:rFonts w:ascii="Arial Narrow" w:hAnsi="Arial Narrow"/>
        </w:rPr>
        <w:t>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5AEF00DE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La durée du marché est de</w:t>
      </w:r>
      <w:r w:rsidR="006B56E1">
        <w:rPr>
          <w:rFonts w:ascii="Arial Narrow" w:hAnsi="Arial Narrow"/>
        </w:rPr>
        <w:t xml:space="preserve"> 12 mois à compter </w:t>
      </w:r>
      <w:r w:rsidR="005C6E66">
        <w:rPr>
          <w:rFonts w:ascii="Arial Narrow" w:hAnsi="Arial Narrow"/>
        </w:rPr>
        <w:t>de</w:t>
      </w:r>
      <w:r w:rsidR="006B56E1">
        <w:rPr>
          <w:rFonts w:ascii="Arial Narrow" w:hAnsi="Arial Narrow"/>
        </w:rPr>
        <w:t xml:space="preserve"> sa date de notification</w:t>
      </w:r>
      <w:r w:rsidR="00C35C25">
        <w:rPr>
          <w:rFonts w:ascii="Arial Narrow" w:hAnsi="Arial Narrow"/>
        </w:rPr>
        <w:t xml:space="preserve"> au titulaire</w:t>
      </w:r>
      <w:r w:rsidR="00482250">
        <w:rPr>
          <w:rFonts w:ascii="Arial Narrow" w:hAnsi="Arial Narrow"/>
        </w:rPr>
        <w:t xml:space="preserve"> si cette dernière est </w:t>
      </w:r>
      <w:r w:rsidR="00B0453D">
        <w:rPr>
          <w:rFonts w:ascii="Arial Narrow" w:hAnsi="Arial Narrow"/>
        </w:rPr>
        <w:t>postérieure</w:t>
      </w:r>
      <w:r w:rsidRPr="009E4F1B">
        <w:rPr>
          <w:rFonts w:ascii="Arial Narrow" w:hAnsi="Arial Narrow"/>
        </w:rPr>
        <w:t>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76619840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</w:t>
      </w:r>
      <w:r w:rsidR="001661BB">
        <w:rPr>
          <w:rFonts w:ascii="Arial Narrow" w:hAnsi="Arial Narrow"/>
        </w:rPr>
        <w:t>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2E9F95E2" w14:textId="08D1F79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</w:t>
      </w:r>
      <w:r w:rsidR="00612FBF">
        <w:rPr>
          <w:rFonts w:ascii="Arial Narrow" w:hAnsi="Arial Narrow"/>
        </w:rPr>
        <w:t>des demandes d’intervention</w:t>
      </w:r>
      <w:r w:rsidRPr="009E4F1B">
        <w:rPr>
          <w:rFonts w:ascii="Arial Narrow" w:hAnsi="Arial Narrow"/>
        </w:rPr>
        <w:t xml:space="preserve"> sur la base des prix </w:t>
      </w:r>
      <w:r w:rsidR="00612FBF">
        <w:rPr>
          <w:rFonts w:ascii="Arial Narrow" w:hAnsi="Arial Narrow"/>
        </w:rPr>
        <w:t>unitaires figurant dans le BPU et ou la grille tarifaire du titulaire.</w:t>
      </w:r>
      <w:bookmarkStart w:id="0" w:name="_GoBack"/>
      <w:bookmarkEnd w:id="0"/>
    </w:p>
    <w:p w14:paraId="3B45BD25" w14:textId="2D0EED42" w:rsidR="00F92E77" w:rsidRPr="009E4F1B" w:rsidRDefault="0050687E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F92E77" w:rsidRPr="009E4F1B">
        <w:rPr>
          <w:rFonts w:ascii="Arial Narrow" w:hAnsi="Arial Narrow"/>
        </w:rPr>
        <w:t>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0B9557C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</w:t>
      </w:r>
      <w:r w:rsidR="0050687E">
        <w:rPr>
          <w:rFonts w:ascii="Arial Narrow" w:hAnsi="Arial Narrow"/>
        </w:rPr>
        <w:t>s</w:t>
      </w:r>
      <w:r w:rsidRPr="009E4F1B">
        <w:rPr>
          <w:rFonts w:ascii="Arial Narrow" w:hAnsi="Arial Narrow"/>
        </w:rPr>
        <w:t xml:space="preserve">a durée totale fixé à </w:t>
      </w:r>
      <w:r w:rsidR="00612FBF">
        <w:rPr>
          <w:rFonts w:ascii="Arial Narrow" w:hAnsi="Arial Narrow"/>
        </w:rPr>
        <w:t>12</w:t>
      </w:r>
      <w:r w:rsidR="00482250">
        <w:rPr>
          <w:rFonts w:ascii="Arial Narrow" w:hAnsi="Arial Narrow"/>
        </w:rPr>
        <w:t>0</w:t>
      </w:r>
      <w:r w:rsidR="00070F07">
        <w:rPr>
          <w:rFonts w:ascii="Arial Narrow" w:hAnsi="Arial Narrow"/>
        </w:rPr>
        <w:t> 000€</w:t>
      </w:r>
      <w:r w:rsidRPr="009E4F1B">
        <w:rPr>
          <w:rFonts w:ascii="Arial Narrow" w:hAnsi="Arial Narrow"/>
        </w:rPr>
        <w:t xml:space="preserve"> HT</w:t>
      </w:r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12FBF">
        <w:rPr>
          <w:rFonts w:ascii="Arial Narrow" w:hAnsi="Arial Narrow"/>
        </w:rPr>
      </w:r>
      <w:r w:rsidR="00612FB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12FBF">
        <w:rPr>
          <w:rFonts w:ascii="Arial Narrow" w:hAnsi="Arial Narrow"/>
        </w:rPr>
      </w:r>
      <w:r w:rsidR="00612FB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6BB34C13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r w:rsidR="005C6E66" w:rsidRPr="009E4F1B">
        <w:rPr>
          <w:rFonts w:ascii="Arial Narrow" w:hAnsi="Arial Narrow"/>
        </w:rPr>
        <w:t>cotraitants</w:t>
      </w:r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4FCF7675" w:rsidR="00F92E77" w:rsidRPr="009E4F1B" w:rsidRDefault="0050687E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J</w:t>
      </w:r>
      <w:r w:rsidR="00F92E77" w:rsidRPr="009E4F1B">
        <w:rPr>
          <w:rFonts w:ascii="Arial Narrow" w:hAnsi="Arial Narrow"/>
        </w:rPr>
        <w:t>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612FBF">
        <w:rPr>
          <w:rFonts w:ascii="Arial Narrow" w:hAnsi="Arial Narrow"/>
        </w:rPr>
      </w:r>
      <w:r w:rsidR="00612FBF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612FBF">
        <w:rPr>
          <w:rFonts w:ascii="Arial Narrow" w:hAnsi="Arial Narrow"/>
        </w:rPr>
      </w:r>
      <w:r w:rsidR="00612FBF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545E10E6" w:rsidR="00F92E77" w:rsidRPr="009E4F1B" w:rsidRDefault="0050687E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J</w:t>
      </w:r>
      <w:r w:rsidR="00F92E77" w:rsidRPr="009E4F1B">
        <w:rPr>
          <w:rFonts w:ascii="Arial Narrow" w:hAnsi="Arial Narrow"/>
        </w:rPr>
        <w:t>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612FBF">
        <w:rPr>
          <w:rFonts w:ascii="Arial Narrow" w:hAnsi="Arial Narrow"/>
        </w:rPr>
      </w:r>
      <w:r w:rsidR="00612FBF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612FBF">
        <w:rPr>
          <w:rFonts w:ascii="Arial Narrow" w:hAnsi="Arial Narrow"/>
        </w:rPr>
      </w:r>
      <w:r w:rsidR="00612FBF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10ADAC9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12FBF">
        <w:rPr>
          <w:rFonts w:ascii="Arial Narrow" w:hAnsi="Arial Narrow"/>
        </w:rPr>
      </w:r>
      <w:r w:rsidR="00612FB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12FBF">
        <w:rPr>
          <w:rFonts w:ascii="Arial Narrow" w:hAnsi="Arial Narrow"/>
        </w:rPr>
      </w:r>
      <w:r w:rsidR="00612FB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DBEA777" w:rsidR="005C6E66" w:rsidRDefault="005C6E66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br w:type="page"/>
      </w: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612FBF">
        <w:rPr>
          <w:rFonts w:ascii="Arial Narrow" w:hAnsi="Arial Narrow"/>
          <w:b/>
          <w:bCs/>
        </w:rPr>
      </w:r>
      <w:r w:rsidR="00612FBF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587A6538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612FBF">
        <w:rPr>
          <w:rFonts w:ascii="Arial Narrow" w:hAnsi="Arial Narrow"/>
        </w:rPr>
      </w:r>
      <w:r w:rsidR="00612FBF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12FBF">
              <w:rPr>
                <w:rFonts w:ascii="Arial Narrow" w:eastAsia="Times New Roman" w:hAnsi="Arial Narrow" w:cs="Calibri Light"/>
                <w:lang w:eastAsia="fr-FR"/>
              </w:rPr>
            </w:r>
            <w:r w:rsidR="00612FB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12FBF">
              <w:rPr>
                <w:rFonts w:ascii="Arial Narrow" w:eastAsia="Times New Roman" w:hAnsi="Arial Narrow" w:cs="Calibri Light"/>
                <w:lang w:eastAsia="fr-FR"/>
              </w:rPr>
            </w:r>
            <w:r w:rsidR="00612FB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12FBF">
              <w:rPr>
                <w:rFonts w:ascii="Arial Narrow" w:eastAsia="Times New Roman" w:hAnsi="Arial Narrow" w:cs="Calibri Light"/>
                <w:lang w:eastAsia="fr-FR"/>
              </w:rPr>
            </w:r>
            <w:r w:rsidR="00612FB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612FBF">
              <w:rPr>
                <w:rFonts w:ascii="Arial Narrow" w:eastAsia="Times New Roman" w:hAnsi="Arial Narrow" w:cs="Calibri Light"/>
                <w:lang w:eastAsia="fr-FR"/>
              </w:rPr>
            </w:r>
            <w:r w:rsidR="00612FBF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16A74272" w:rsidR="00E2373D" w:rsidRPr="009E4F1B" w:rsidRDefault="006B56E1" w:rsidP="00E2373D">
            <w:pPr>
              <w:pStyle w:val="Titre1"/>
              <w:rPr>
                <w:rFonts w:ascii="Arial Narrow" w:hAnsi="Arial Narrow"/>
              </w:rPr>
            </w:pPr>
            <w:r w:rsidRPr="006B56E1">
              <w:rPr>
                <w:rFonts w:ascii="Arial Narrow" w:hAnsi="Arial Narrow"/>
                <w:color w:val="000000" w:themeColor="text1"/>
              </w:rPr>
              <w:t>A</w:t>
            </w:r>
            <w:r w:rsidR="007C259F" w:rsidRPr="006B56E1">
              <w:rPr>
                <w:rFonts w:ascii="Arial Narrow" w:hAnsi="Arial Narrow"/>
                <w:color w:val="000000" w:themeColor="text1"/>
              </w:rPr>
              <w:t xml:space="preserve">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1E7C67DB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  <w:r w:rsidR="001661BB">
              <w:rPr>
                <w:rFonts w:ascii="Arial Narrow" w:hAnsi="Arial Narrow"/>
              </w:rPr>
              <w:t>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1084F" w14:textId="77777777" w:rsidR="00787088" w:rsidRDefault="00787088" w:rsidP="00E42FF3">
      <w:pPr>
        <w:spacing w:after="0" w:line="240" w:lineRule="auto"/>
      </w:pPr>
      <w:r>
        <w:separator/>
      </w:r>
    </w:p>
  </w:endnote>
  <w:endnote w:type="continuationSeparator" w:id="0">
    <w:p w14:paraId="435C374A" w14:textId="77777777" w:rsidR="00787088" w:rsidRDefault="00787088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04D215F8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FBF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D9C54" w14:textId="77777777" w:rsidR="00787088" w:rsidRDefault="00787088" w:rsidP="00E42FF3">
      <w:pPr>
        <w:spacing w:after="0" w:line="240" w:lineRule="auto"/>
      </w:pPr>
      <w:r>
        <w:separator/>
      </w:r>
    </w:p>
  </w:footnote>
  <w:footnote w:type="continuationSeparator" w:id="0">
    <w:p w14:paraId="254B87E7" w14:textId="77777777" w:rsidR="00787088" w:rsidRDefault="00787088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01897"/>
    <w:rsid w:val="00017C43"/>
    <w:rsid w:val="00054FBE"/>
    <w:rsid w:val="00070F07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464AC"/>
    <w:rsid w:val="00163AD2"/>
    <w:rsid w:val="001661BB"/>
    <w:rsid w:val="00180990"/>
    <w:rsid w:val="00182FB2"/>
    <w:rsid w:val="00191D1D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20B88"/>
    <w:rsid w:val="00334A76"/>
    <w:rsid w:val="003765CC"/>
    <w:rsid w:val="00382DEF"/>
    <w:rsid w:val="003A3C44"/>
    <w:rsid w:val="003A7A68"/>
    <w:rsid w:val="003F3420"/>
    <w:rsid w:val="004261EE"/>
    <w:rsid w:val="004302A7"/>
    <w:rsid w:val="0046505E"/>
    <w:rsid w:val="00482250"/>
    <w:rsid w:val="004C777F"/>
    <w:rsid w:val="004F429E"/>
    <w:rsid w:val="0050687E"/>
    <w:rsid w:val="005140A3"/>
    <w:rsid w:val="00544CF8"/>
    <w:rsid w:val="005706E9"/>
    <w:rsid w:val="00593CA0"/>
    <w:rsid w:val="005C6E66"/>
    <w:rsid w:val="005D3FBB"/>
    <w:rsid w:val="005F1D51"/>
    <w:rsid w:val="00612FBF"/>
    <w:rsid w:val="00666DD5"/>
    <w:rsid w:val="006A20DC"/>
    <w:rsid w:val="006A5427"/>
    <w:rsid w:val="006B56E1"/>
    <w:rsid w:val="006F0B57"/>
    <w:rsid w:val="007202B3"/>
    <w:rsid w:val="007221BF"/>
    <w:rsid w:val="007258AA"/>
    <w:rsid w:val="00730DA1"/>
    <w:rsid w:val="00730FE8"/>
    <w:rsid w:val="00732656"/>
    <w:rsid w:val="007663CD"/>
    <w:rsid w:val="00787088"/>
    <w:rsid w:val="007C259F"/>
    <w:rsid w:val="007D0A2F"/>
    <w:rsid w:val="00816ED4"/>
    <w:rsid w:val="00830593"/>
    <w:rsid w:val="00836C55"/>
    <w:rsid w:val="00847D6C"/>
    <w:rsid w:val="0088306B"/>
    <w:rsid w:val="0088600A"/>
    <w:rsid w:val="00886A9B"/>
    <w:rsid w:val="00891B1A"/>
    <w:rsid w:val="008B6960"/>
    <w:rsid w:val="008B747E"/>
    <w:rsid w:val="008C080E"/>
    <w:rsid w:val="008C65D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0453D"/>
    <w:rsid w:val="00B17100"/>
    <w:rsid w:val="00B260CD"/>
    <w:rsid w:val="00BC605E"/>
    <w:rsid w:val="00BD6430"/>
    <w:rsid w:val="00C35C25"/>
    <w:rsid w:val="00C37C04"/>
    <w:rsid w:val="00C74EFE"/>
    <w:rsid w:val="00CB69DD"/>
    <w:rsid w:val="00CC33BB"/>
    <w:rsid w:val="00CE4A76"/>
    <w:rsid w:val="00D17E86"/>
    <w:rsid w:val="00D22BD3"/>
    <w:rsid w:val="00D26817"/>
    <w:rsid w:val="00D32F62"/>
    <w:rsid w:val="00D349F1"/>
    <w:rsid w:val="00D466A0"/>
    <w:rsid w:val="00D524F5"/>
    <w:rsid w:val="00D537A7"/>
    <w:rsid w:val="00D637C9"/>
    <w:rsid w:val="00D96567"/>
    <w:rsid w:val="00DB4DE8"/>
    <w:rsid w:val="00DB7CFA"/>
    <w:rsid w:val="00E2373D"/>
    <w:rsid w:val="00E42FF3"/>
    <w:rsid w:val="00EC6141"/>
    <w:rsid w:val="00F03BF9"/>
    <w:rsid w:val="00F065F4"/>
    <w:rsid w:val="00F12C71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2A7C74"/>
    <w:rsid w:val="00316893"/>
    <w:rsid w:val="00464646"/>
    <w:rsid w:val="004D2C6C"/>
    <w:rsid w:val="005A3E7F"/>
    <w:rsid w:val="006E392B"/>
    <w:rsid w:val="007F14A2"/>
    <w:rsid w:val="0091692A"/>
    <w:rsid w:val="00940A3F"/>
    <w:rsid w:val="00B0769C"/>
    <w:rsid w:val="00CD5E0D"/>
    <w:rsid w:val="00F8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BB0F0-1992-4E27-A0A8-63A053A3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1053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LE GOFF Ludovic</cp:lastModifiedBy>
  <cp:revision>2</cp:revision>
  <dcterms:created xsi:type="dcterms:W3CDTF">2025-05-19T14:58:00Z</dcterms:created>
  <dcterms:modified xsi:type="dcterms:W3CDTF">2025-05-19T14:58:00Z</dcterms:modified>
</cp:coreProperties>
</file>